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1. Qual o tratamento dispensado às divergências entre autoridades pelo Código de Conduta?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O Código de Conduta enuncia que divergências entre autoridades serão resolvidas internamente, mediante coordenação administrativa. Trata-se de norma programática, não competindo à Comissão promover referida coordenação, mas sim ao próprio governo, por meio das autoridades competentes.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2. Em que casos a Comissão de Ética deve atuar?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Constitui infração ao Código de Conduta quando a autoridade se manifestar publicamente: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• sobre matéria que não seja de sua competência;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• sobre a honorabilidade e o desempenho funcional de outra autoridade federal;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• de forma antecipada, sobre o mérito de questão que lhe será submetida para decisão, de forma individual ou coletiva.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3. Autoridade em entrevista à imprensa é consultada sobre posicionamento que sua área de governo tomaria em vista de situação hipotética. Sua resposta configuraria transgressão ao Código de Conduta?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Não, pois não envolveria caso particular e específico que possa vir a ser objeto de decisão da autoridade. No entanto, a autoridade deve tomar cuidado para que a situação seja efetivamente hipotética, vale dizer, não conduza à antecipação de solução de algum caso específico.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4. Em entrevista à imprensa, autoridade é consultada sobre fato que pode lhe ser submetida para decisão futura, de conhecimento geral, que envolve prática da empresa X relacionada com sua política de expansão. Sua resposta pode configurar descumprimento do previsto no Código de Conduta?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Sim. Tal prática configura antecipação de decisão que lhe pode vir a ser submetida. Portanto, havendo um caso pendente de decisão, não pode a autoridade sequer manifestar-se sob possíveis hipóteses do seu desenlace.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lastRenderedPageBreak/>
        <w:t>5. Ao manifestar-se sobre restrições resultantes da política fiscal do governo federal, autoridade manifesta-se de forma depreciativa em relação àqueles que têm a responsabilidade de sua coordenação. Trata-se de transgressão ao Código?</w:t>
      </w:r>
    </w:p>
    <w:p w:rsidR="00255076" w:rsidRPr="00255076" w:rsidRDefault="00255076" w:rsidP="00255076">
      <w:pPr>
        <w:jc w:val="both"/>
        <w:rPr>
          <w:sz w:val="24"/>
          <w:szCs w:val="24"/>
        </w:rPr>
      </w:pPr>
      <w:r w:rsidRPr="00255076">
        <w:rPr>
          <w:sz w:val="24"/>
          <w:szCs w:val="24"/>
        </w:rPr>
        <w:t>Sim, pois implica questionamento da honorabilidade ou do desempenho funcional de outra autoridade federal, em função do exercício de suas competências, mesmo que o nome da mesma seja omitido.</w:t>
      </w:r>
    </w:p>
    <w:p w:rsidR="00A45F85" w:rsidRPr="00255076" w:rsidRDefault="00A45F85">
      <w:pPr>
        <w:rPr>
          <w:sz w:val="24"/>
          <w:szCs w:val="24"/>
        </w:rPr>
      </w:pPr>
    </w:p>
    <w:sectPr w:rsidR="00A45F85" w:rsidRPr="00255076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255076"/>
    <w:rsid w:val="00255076"/>
    <w:rsid w:val="00A4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2015-08-24T15:14:00Z</dcterms:created>
  <dcterms:modified xsi:type="dcterms:W3CDTF">2015-08-24T15:15:00Z</dcterms:modified>
</cp:coreProperties>
</file>