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C0" w:rsidRPr="00FE37C0" w:rsidRDefault="00FE37C0" w:rsidP="00FE37C0">
      <w:pPr>
        <w:jc w:val="both"/>
        <w:rPr>
          <w:sz w:val="24"/>
          <w:szCs w:val="24"/>
        </w:rPr>
      </w:pPr>
      <w:r w:rsidRPr="00FE37C0">
        <w:rPr>
          <w:sz w:val="24"/>
          <w:szCs w:val="24"/>
        </w:rPr>
        <w:t>1. Pode autoridade vinculada ao Código de Conduta participar de processo decisório que resulte em patrocínio a partido político?</w:t>
      </w:r>
    </w:p>
    <w:p w:rsidR="00A45F85" w:rsidRPr="00FE37C0" w:rsidRDefault="00FE37C0" w:rsidP="00FE37C0">
      <w:pPr>
        <w:rPr>
          <w:sz w:val="24"/>
          <w:szCs w:val="24"/>
        </w:rPr>
      </w:pPr>
      <w:r w:rsidRPr="00FE37C0">
        <w:rPr>
          <w:sz w:val="24"/>
          <w:szCs w:val="24"/>
        </w:rPr>
        <w:t>É entendimento da Comissão de Ética pública que a participação em processo decisório que resulte em patrocínio, direto ou indireto, a partido político configura transgressão ao que dispõe o art. 3º do Código de Conduta da Alta Administração Federal, devendo a autoridade considerar fato impeditivo sua participação, nos termos do art. 10 do Código de Conduta.</w:t>
      </w:r>
    </w:p>
    <w:sectPr w:rsidR="00A45F85" w:rsidRPr="00FE37C0" w:rsidSect="00A4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E37C0"/>
    <w:rsid w:val="00A45F85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2015-08-24T15:25:00Z</dcterms:created>
  <dcterms:modified xsi:type="dcterms:W3CDTF">2015-08-24T15:25:00Z</dcterms:modified>
</cp:coreProperties>
</file>